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0"/>
        <w:tblGridChange w:id="0">
          <w:tblGrid>
            <w:gridCol w:w="113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rPr>
                <w:rFonts w:ascii="Balthazar" w:cs="Balthazar" w:eastAsia="Balthazar" w:hAnsi="Balthazar"/>
                <w:b w:val="1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mallCaps w:val="1"/>
                <w:sz w:val="40"/>
                <w:szCs w:val="40"/>
                <w:rtl w:val="0"/>
              </w:rPr>
              <w:t xml:space="preserve">Unit IV – A Question of Sovereignty</w:t>
            </w:r>
          </w:p>
        </w:tc>
      </w:tr>
      <w:tr>
        <w:trPr>
          <w:trHeight w:val="32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>
                <w:rFonts w:ascii="Balthazar" w:cs="Balthazar" w:eastAsia="Balthazar" w:hAnsi="Balthazar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mallCaps w:val="1"/>
                <w:sz w:val="28"/>
                <w:szCs w:val="28"/>
                <w:rtl w:val="0"/>
              </w:rPr>
              <w:t xml:space="preserve">(4-2) </w:t>
            </w:r>
            <w:r w:rsidDel="00000000" w:rsidR="00000000" w:rsidRPr="00000000">
              <w:rPr>
                <w:rFonts w:ascii="Balthazar" w:cs="Balthazar" w:eastAsia="Balthazar" w:hAnsi="Balthazar"/>
                <w:b w:val="1"/>
                <w:smallCaps w:val="1"/>
                <w:sz w:val="22"/>
                <w:szCs w:val="22"/>
                <w:rtl w:val="0"/>
              </w:rPr>
              <w:t xml:space="preserve">Absolutism in France and Eastern Europe</w:t>
            </w:r>
            <w:r w:rsidDel="00000000" w:rsidR="00000000" w:rsidRPr="00000000">
              <w:rPr>
                <w:rFonts w:ascii="Balthazar" w:cs="Balthazar" w:eastAsia="Balthazar" w:hAnsi="Balthazar"/>
                <w:b w:val="1"/>
                <w:smallCaps w:val="1"/>
                <w:sz w:val="20"/>
                <w:szCs w:val="20"/>
                <w:rtl w:val="0"/>
              </w:rPr>
              <w:t xml:space="preserve"> – pg. 179 –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rFonts w:ascii="Balthazar" w:cs="Balthazar" w:eastAsia="Balthazar" w:hAnsi="Balthazar"/>
                <w:b w:val="1"/>
                <w:smallCaps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mallCaps w:val="1"/>
                <w:rtl w:val="0"/>
              </w:rPr>
              <w:t xml:space="preserve">Guided Reading Questions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4394200</wp:posOffset>
            </wp:positionH>
            <wp:positionV relativeFrom="paragraph">
              <wp:posOffset>-749934</wp:posOffset>
            </wp:positionV>
            <wp:extent cx="2038350" cy="102616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26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ind w:left="-360" w:hanging="36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Answer the question or define the term for each: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Rise of Absolute Monarchy in France: The World of Louis XIV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Cardinals Richelieu and Mazarin help set the groundwork for Louis XIV’s absolute rule?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How did the </w:t>
      </w:r>
      <w:r w:rsidDel="00000000" w:rsidR="00000000" w:rsidRPr="00000000">
        <w:rPr>
          <w:i w:val="1"/>
          <w:sz w:val="20"/>
          <w:szCs w:val="20"/>
          <w:rtl w:val="0"/>
        </w:rPr>
        <w:t xml:space="preserve">Fronde </w:t>
      </w:r>
      <w:r w:rsidDel="00000000" w:rsidR="00000000" w:rsidRPr="00000000">
        <w:rPr>
          <w:sz w:val="20"/>
          <w:szCs w:val="20"/>
          <w:rtl w:val="0"/>
        </w:rPr>
        <w:t xml:space="preserve">impact Louis XIV’s reign?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63500</wp:posOffset>
                </wp:positionV>
                <wp:extent cx="2193925" cy="163766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4913" y="2977043"/>
                          <a:ext cx="2162175" cy="1605915"/>
                        </a:xfrm>
                        <a:prstGeom prst="rect">
                          <a:avLst/>
                        </a:prstGeom>
                        <a:noFill/>
                        <a:ln cap="flat" cmpd="sng" w="3175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People to Know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Louis XIV (r. 1643-1715)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Frederick William (r. 1640-1688)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Frederick William I (r. 1713-1740)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Peter the Great (r. 1682-1725)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63500</wp:posOffset>
                </wp:positionV>
                <wp:extent cx="2193925" cy="163766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63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Years of Personal Rule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Louis XIV maintain his own authority among the growing and long established nobility?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60" w:hanging="360"/>
        <w:rPr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Versailles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Louis XIV use Versailles to his advantage?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King by Divine Right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absolute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was the absolute monarchy of Louis XIV?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1739265" cy="129413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2243" y="3148810"/>
                          <a:ext cx="1707515" cy="1262380"/>
                        </a:xfrm>
                        <a:prstGeom prst="rect">
                          <a:avLst/>
                        </a:prstGeom>
                        <a:noFill/>
                        <a:ln cap="flat" cmpd="sng" w="3175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Terms to Know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Versailles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“divine right of kings”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Jansenism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25400</wp:posOffset>
                </wp:positionV>
                <wp:extent cx="1739265" cy="129413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265" cy="1294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Louis’s Early Wars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whom did Louis XIV continuously go to war with on his northern border and why?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Louis’s Repressive Religious Policies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Jansenism help stir conflict between royal authority and the church?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Louis XIV’s revocation of the Edict of Nantes backfire on him?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88900</wp:posOffset>
                </wp:positionV>
                <wp:extent cx="2787650" cy="174879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68050" y="2921480"/>
                          <a:ext cx="2755900" cy="1717040"/>
                        </a:xfrm>
                        <a:prstGeom prst="rect">
                          <a:avLst/>
                        </a:prstGeom>
                        <a:noFill/>
                        <a:ln cap="flat" cmpd="sng" w="3175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Key Events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1640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Augustinus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published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1643-1715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reign of Louis XIV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1649-1652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Fronde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1682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reign of Peter the Great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1683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Siege of Vienna by Ottoman Turks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1685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– Louis XIV revokes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Edict of Nantes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1700-1721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Great Northern War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88900</wp:posOffset>
                </wp:positionV>
                <wp:extent cx="2787650" cy="174879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0" cy="174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Louis’s Later Wars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how France and Britain fared in the War of Spanish Succession.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France after Louis XIV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renewed authority of the French parlements help weaken the authority of the king?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Central and Eastern Europe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was most of central and eastern Europe considered politically weak areas?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72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Poland: Absence of Strong Central Authority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governmental structure of Poland and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liberum veto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cause the eventual fall of Poland?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The Habsburg Empire and the Pragmatic Sanction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the difficulty in uniting regions and people of the Habsburg Empire?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Prussia and the Hohenzollerns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was Frederick William able to amass such a large army that his successor was able to acquire the title of King in Prussia?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the meaning behind the expression “while other states possessed an army, the Prussian army possessed a state.”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Russia Enters the European Political Arena</w:t>
      </w:r>
    </w:p>
    <w:p w:rsidR="00000000" w:rsidDel="00000000" w:rsidP="00000000" w:rsidRDefault="00000000" w:rsidRPr="00000000" w14:paraId="00000040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The Romanov Dynasty</w:t>
      </w:r>
    </w:p>
    <w:p w:rsidR="00000000" w:rsidDel="00000000" w:rsidP="00000000" w:rsidRDefault="00000000" w:rsidRPr="00000000" w14:paraId="00000041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Peter the Great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Louis XIV and Peter the Great similar?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Peter the Great’s transformation of Russia from fragile power on the periphery of Europe to a prominent European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360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Russian Expansion in the Baltic: The Great Northern War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great Northern War benefit Russia?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the city of St. Petersburg symbolize?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Please read the “IN PERSPECTIVE” section for an overview of the chapter.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71" w:top="89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